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A8" w:rsidRPr="004C1FA8" w:rsidRDefault="004C1FA8" w:rsidP="004C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  <w:t>ESTRATTO DEL NUOVO CCNL 2</w:t>
      </w:r>
      <w:r w:rsidR="00C8607A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  <w:t xml:space="preserve"> MAGGIO 2018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59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intenzionalità del comportamento, grado di negligenza, imprudenza o imperizia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rilevanza degli obblighi violati;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responsabilità connesse alla posizione di lavoro occupata dal dipendente;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grado di danno o di pericolo causato all'amministrazione, agli utenti o a terzi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sussistenza di circostanze aggravanti o attenuanti, con particolare riguardo al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concorso nella violazione di più lavoratori in accordo tra di loro.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3.La sanzione disciplinare dal minimo del rimprovero verbale o scritto al massimo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inosservanza delle disposizioni di servizio, anche in tema di assenze per malattia,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nonché dell'orario di lavoro, ove non ricorrano le fattispecie considerate nell’art. 55-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quater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1, lett. a)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condotta non conforme a principi di correttezza verso superiori o altri dipendenti 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negligenza nell'esecuzione dei compiti assegnati, nella cura dei locali e dei beni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mobili o strumenti a lui affidati o sui quali, in relazione alle sue responsabilità, debba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espletare attività di custodia o vigilanza;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inosservanza degli obblighi in materia di prevenzione degli infortuni e di sicurezza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rifiuto di assoggettarsi a visite personali disposte a tutela del patrimonio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300/1970;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insufficiente rendimento nell'assolvimento dei compiti assegnati, ove non ricorrano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fattispecie considerate nell’art. 55-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quater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g) violazione dell’obbligo previsto dall’art. 55-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novies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di doveri ed obblighi di comportamento non ricompresi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 pericolo all'amministrazione, agli utenti o ai terzi.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nelle mancanze previste dal comma 3;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particolare gravità delle mancanze previste al comma 3;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ove non ricorra la fattispecie prevista dall’articolo55-quater,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lett.b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del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165/2001, assenza ingiustificata dal servizio o arbitrario abbandono dello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ingiustificato ritardo, non superiore a 5 giorni, a trasferirsi nella sede assegnata dai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superiori;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svolgimento di attività che ritardino il recupero psico-fisico durante lo stato di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malattia o di infortunio;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manifestazioni ingiuriose nei confronti dell'ente, salvo che siano espressione della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libertà di pensiero, ai sensi dell'art. 1 della legge n. 300/1970;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ove non sussista la gravità e reiterazione delle fattispecie considerate nell’art. 55-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quater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1, lett. e)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atti, comportamenti o molestie,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lesivi della dignità della persona;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ove non sussista la gravità e reiterazione delle fattispecie considerate nell’art. 55-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quater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1, lett. e)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atti o comportamenti aggressivi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di doveri ed obblighi di comportamento non ricompresi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comunque derivato grave danno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all’ente e agli utenti o ai terzi.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sospensione dal servizio con privazione della retribuzione fino ad un massimo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 quindici giorni si applica nel caso previsto dall’art.55-bis, comma 7,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 del 2001.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 tre mesi, si applica nei casi previsti dall’art.55-sexies, comma 3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165/2001, anche con riferimento alla previsione di cui all’art. 55-septies, comma 6.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 si applica nel caso previsto dall’art. 55-sexies,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comma 1,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 del 2001.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 si applica, graduando l’entità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della sanzione in relazione ai criteri di cui al comma 1, per: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 biennio delle mancanze previste nel comma 4;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occultamento, da parte del responsabile della custodia, del controllo o della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atti, comportamenti o molestie a carattere sessuale ove non sussista la gravità 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reiterazione;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alterchi con vie di fatto negli ambienti di lavoro, anche con gli utenti;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e)violazione di doveri ed obblighi di comportamento non ricompresi specificatamente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 da cui sia, comunque, derivato grave danno all’ente agli utenti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a terzi.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fino a due assenze ingiustificate dal servizio in continuità con le giornate festive 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ingiustificate assenze collettive nei periodi in cui è necessario assicurare continuità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nell’erogazione di servizi all’utenza;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dall’art. 55-quater, comma 1, lett. b) e c), da f bis)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fino a f)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del D.Lgs.n.165/ 2001;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recidiva nel biennio nelle violazioni indicate nei commi 5, 6, 7 e 8.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recidiva plurima, in una delle mancanze previste ai commi precedenti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anche se di diversa natura, o recidiva, nel biennio, in una mancanza che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abbia già comportato l’applicazione della sanzione di sospensione dal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dalla retribuzione;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recidiva nel biennio di atti, comportamenti o molestie a carattere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sessuale o quando l’atto, il comportamento o la molestia rivestano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carattere di particolare gravità;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 passata in giudicato, per un delitto che, commesso fuori del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non attinente in via diretta al rapporto di lavoro, non ne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consenta la prosecuzione per la sua specifica gravità;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la violazione degli obblighi di comportamento di cui all’art 16, comma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secondo e terzo periodo del D.P.R. n. 62/2013;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violazione dei doveri e degli obblighi di comportamento non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ricompresi specificatamente nelle lettere precedenti di gravità tale,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secondo i criteri di cui al comma 1, da non consentire la prosecuzione del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rapporto di lavoro;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mancata ripresa del servizio, salvo casi di comprovato impedimento,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dopo periodi di interruzione dell’attività previsti dalle disposizioni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legislative e contrattuali vigenti, alla conclusione del periodo di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o alla scadenza del termine fissato dall’amministrazione;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nell’art. 55-quater, comma 1, lett. a), d), e) ed f)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commissione di gravi fatti illeciti di rilevanza penale, ivi compresi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quelli che possono dare luogo alla sospensione cautelare, secondo la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 dell’art. 61, fatto salvo quanto previsto dall’art. 62;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condanna passata in giudicato per un delitto commesso in servizio 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fuori servizio che, pur non attenendo in via diretta al rapporto di lavoro,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 ne consenta neanche provvisoriamente la prosecuzione per la sua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 gravità;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commissione in genere - anche nei confronti di terzi - di fatti o atti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dolosi, che, pur non costituendo illeciti di rilevanza penale, sono di gravità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tale da non consentire la prosecuzione neppure provvisoria del rapporto di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lavoro;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condanna, anche non passata in giudicato: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indicati dall’art.7, comma 1, e 8, comma 1, del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D.Lgs.n.235/2012;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quando alla condanna consegua comunque l’interdizione perpetua dai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previsti dall’art. 3, comma 1, della legge 27 marzo 2001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n.97;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gravi delitti commessi in servizio;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violazioni intenzionali degli obblighi, non ricomprese specificatamente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precedenti, anche nei confronti di terzi, di gravità tale, in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relazione ai criteri di cui al comma 1, da non consentire la prosecuzione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neppure provvisoria del rapporto di lavoro.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facendosi riferimento, quanto al tipo e alla misura delle sanzioni, ai principi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desumibili dai commi precedenti.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dell’ente secondo le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previsioni dell’art. 55, comma 2, ultimo periodo,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In sede di prima applicazione del presente CCNL, il codice disciplinare deve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</w:p>
    <w:p w:rsidR="004C1FA8" w:rsidRDefault="004C1FA8" w:rsidP="004C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</w:p>
    <w:p w:rsidR="007A636E" w:rsidRDefault="004C1FA8" w:rsidP="004C1FA8">
      <w:r>
        <w:rPr>
          <w:rFonts w:ascii="Times New Roman" w:hAnsi="Times New Roman" w:cs="Times New Roman"/>
          <w:color w:val="000000"/>
          <w:sz w:val="28"/>
          <w:szCs w:val="28"/>
        </w:rPr>
        <w:t>successivo a quello della sua pubblicazione.</w:t>
      </w:r>
    </w:p>
    <w:sectPr w:rsidR="007A636E" w:rsidSect="0096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FA8"/>
    <w:rsid w:val="004C1FA8"/>
    <w:rsid w:val="007A636E"/>
    <w:rsid w:val="00963428"/>
    <w:rsid w:val="00C8607A"/>
    <w:rsid w:val="00F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ingres</cp:lastModifiedBy>
  <cp:revision>2</cp:revision>
  <dcterms:created xsi:type="dcterms:W3CDTF">2018-06-16T10:51:00Z</dcterms:created>
  <dcterms:modified xsi:type="dcterms:W3CDTF">2018-06-16T10:51:00Z</dcterms:modified>
</cp:coreProperties>
</file>